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SV</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BILAGA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”BILAGA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INSTRUKTIONER FÖR RAPPORTERING AV KAPITALBAS OCH KAPITALBASKRAV</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DEL II: MALLRELATERADE INSTRUKTIONER</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Tröskelvärden för handelslager och marknadsrisk, gränsen mellan ”i handelslagret” och ”utanför handelslagret” och omklassificeringar</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rPr>
          <w:rFonts w:ascii="Times New Roman" w:hAnsi="Times New Roman"/>
          <w:sz w:val="24"/>
        </w:rPr>
        <w:tab/>
      </w:r>
      <w:bookmarkEnd w:id="6"/>
      <w:r>
        <w:rPr>
          <w:rFonts w:ascii="Times New Roman" w:hAnsi="Times New Roman"/>
          <w:sz w:val="24"/>
        </w:rPr>
        <w:t>C 90.00 – Tröskelvärden för handelslager och marknadsrisk</w:t>
      </w:r>
      <w:bookmarkEnd w:id="7"/>
      <w:bookmarkEnd w:id="8"/>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Pr>
          <w:rFonts w:ascii="Times New Roman" w:hAnsi="Times New Roman"/>
          <w:u w:val="none"/>
        </w:rPr>
        <w:tab/>
      </w:r>
      <w:r>
        <w:rPr>
          <w:rFonts w:ascii="Times New Roman" w:hAnsi="Times New Roman"/>
          <w:sz w:val="24"/>
          <w:u w:val="none"/>
        </w:rPr>
        <w:t>Allmänna kommentarer</w:t>
      </w:r>
    </w:p>
    <w:p w14:paraId="2EE35BE9" w14:textId="77777777" w:rsidR="00F65FA6" w:rsidRPr="00037E7B" w:rsidRDefault="00F65FA6" w:rsidP="00F65FA6">
      <w:pPr>
        <w:pStyle w:val="InstructionsText2"/>
        <w:numPr>
          <w:ilvl w:val="0"/>
          <w:numId w:val="61"/>
        </w:numPr>
        <w:spacing w:line="259" w:lineRule="auto"/>
      </w:pPr>
      <w:r>
        <w:t>Informationen i denna mall ska återspegla resultatet av den beräkning som avses i artikel 94 i förordning (EU) nr 575/2013 (undantag för mindre verksamhet i handelslagret) och storleken på ett instituts verksamhet inom och utanför balansräkningen som omfattas av marknadsrisk, beräknat i enlighet med artikel 325a i förordning (EU) nr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Pr>
          <w:rFonts w:ascii="Times New Roman" w:hAnsi="Times New Roman"/>
          <w:sz w:val="24"/>
          <w:u w:val="none"/>
        </w:rPr>
        <w:tab/>
        <w:t>Instruktioner för specifika positioner</w:t>
      </w:r>
      <w:bookmarkEnd w:id="10"/>
    </w:p>
    <w:p w14:paraId="230964CC" w14:textId="77777777" w:rsidR="00F65FA6" w:rsidRPr="00037E7B" w:rsidRDefault="00F65FA6" w:rsidP="00F65FA6">
      <w:pPr>
        <w:pStyle w:val="InstructionsText2"/>
        <w:numPr>
          <w:ilvl w:val="0"/>
          <w:numId w:val="61"/>
        </w:numPr>
        <w:spacing w:line="259" w:lineRule="auto"/>
      </w:pPr>
      <w:r>
        <w:t>Resultatet av den beräkning som avses i artikel 94 i förordning (EU) nr 575/2013 och uppgifter om storleken på ett instituts verksamhet inom och utanför balansräkningen som omfattas av marknadsrisk, beräknat i enlighet med artikel 325a i förordning (EU) nr 575/2013, ska rapporteras separat för varje månadsslut i det kvartal som rapporten avser på raderna 0010–0030.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Rad</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Rättsliga hänvisningar och instruktioner</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Månad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Uppgifter per den sista dagen i den tredje månaden i det kvartal som rapporten avser.</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Månad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Uppgifter per den sista dagen i den andra månaden i det kvartal som rapporten avser.</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Månad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Uppgifter per den sista dagen i den första månaden i det kvartal som rapporten avser.</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Kolumn</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Rättsliga hänvisningar och instruktioner</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Verksamhet inom och utanför balansräkningen som omfattas av marknadsrisk</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325a.2 i förordning (EU) nr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Instituten ska rapportera det absoluta belopp som återspeglar deras verksamhet inom och utanför balansräkningen som omfattas av marknadsrisk, beräknat i enlighet med artikel 325a.2 i förordning (EU) nr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Uppdelning per reglerad verksamhet</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Verksamhet inom och utanför balansräkningen som omfattas av marknadsrisk ska delas upp på verksamhet i handelslagret och utanför handelslagret.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Handelslager</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Positioner som hänförts till handelslagret och som ingår i beräkningen i artikel 325a.2 i förordning (EU) nr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varav: Verksamhet i handelslagret i enlighet med artikel 94 i förordning (EU) nr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94.3 i förordning (EU) nr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 enlighet med artikel 94.3 b i förordning (EU) nr 575/2013 ska instituten rapportera marknadsvärden per den sista dagen i månaden. Om marknadsvärden inte är tillgängliga ska instituten använda sig av verkliga värden vid samma tidpunkt eller, om marknadsvärden och verkliga värden inte är tillgängliga vid den tidpunkten, det mest aktuella marknadsvärdet eller verkliga värdet.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Totalt</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94.3 i förordning (EU) nr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Det absoluta beloppet för långa och korta positioner ska summeras i enlighet med artikel 94.3 c i förordning (EU) nr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i % av summa tillgångar</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94.1 a i förordning (EU) nr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Storleken på verksamheten i handelslagret ska vid tillämpningen av artikel 94 i förordning (EU) nr 575/2013 uttryckas som en procentandel av de totala tillgångarna.</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Utanför handelslagret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Positioner som hänförts till verksamhet utanför handelslagret och som ingår i beräkningen i artikel 325a.2 i förordning (EU) nr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Instituten ska rapportera positioner utanför handelslagret som omfattas av marknadsrisk uppdelade på positioner som omfattas av valutarisk och positioner som omfattas av råvarurisk.</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De relevanta beloppen ska fastställas i enlighet med artikel 325a.2 d och e i förordning (EU) nr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i % av summa tillgångar</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325a.1 a i förordning (EU) nr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Den verksamhet inom och utanför balansräkningen som omfattas av marknadsrisk ska uttryckas som en procentandel av de totala tillgångarna.</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Totala tillgångar</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Artiklarna 94.1 a och 325a.1 a i förordning (EU) nr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Gränsen mellan ”i handelslagret” och ”utanför handelslagret”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rPr>
          <w:rFonts w:ascii="Times New Roman" w:hAnsi="Times New Roman"/>
          <w:sz w:val="24"/>
        </w:rPr>
        <w:tab/>
        <w:t>Allmänna kommentarer</w:t>
      </w:r>
      <w:bookmarkEnd w:id="11"/>
    </w:p>
    <w:p w14:paraId="5D51F5A4" w14:textId="105C86A5" w:rsidR="009B2CA6" w:rsidRPr="00037E7B" w:rsidRDefault="000B3833" w:rsidP="00660845">
      <w:pPr>
        <w:pStyle w:val="InstructionsText2"/>
        <w:numPr>
          <w:ilvl w:val="0"/>
          <w:numId w:val="0"/>
        </w:numPr>
      </w:pPr>
      <w:r>
        <w:t xml:space="preserve">209a. Denna mall ska användas för att tillhandahålla information om handelslagrets sammansättning (BOU1) mot bakgrund av de presumtioner för att införa instrument i handelslagren som föreskrivs i artikel 104 i förordning (EU) nr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rPr>
          <w:rFonts w:ascii="Times New Roman" w:hAnsi="Times New Roman"/>
        </w:rPr>
        <w:tab/>
      </w:r>
      <w:r>
        <w:rPr>
          <w:rFonts w:ascii="Times New Roman" w:hAnsi="Times New Roman"/>
          <w:sz w:val="24"/>
        </w:rPr>
        <w:t>C 90.05 – Gräns: Handelslager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Allmänna kommentarer</w:t>
      </w:r>
      <w:bookmarkEnd w:id="13"/>
    </w:p>
    <w:p w14:paraId="645F6657" w14:textId="77777777" w:rsidR="00A27E48" w:rsidRDefault="000B3833" w:rsidP="00D53CED">
      <w:pPr>
        <w:pStyle w:val="InstructionsText2"/>
        <w:numPr>
          <w:ilvl w:val="0"/>
          <w:numId w:val="0"/>
        </w:numPr>
      </w:pPr>
      <w:r>
        <w:t xml:space="preserve">209b. Instituten ska rapportera alla positioner som hänförts till handelslagret enligt artikel 4.1.85 i förordning (EU) nr 575/2013 i denna mall, med undantag för instrument och positioner som undantas från beräkningen av det tröskelvärde som avses i artikel 325a i förordning (EU) nr 575/2013. </w:t>
      </w:r>
    </w:p>
    <w:p w14:paraId="4E94C71F" w14:textId="307DC79C" w:rsidR="00D87969" w:rsidRPr="00037E7B" w:rsidRDefault="000B3833" w:rsidP="00D53CED">
      <w:pPr>
        <w:pStyle w:val="InstructionsText2"/>
        <w:numPr>
          <w:ilvl w:val="0"/>
          <w:numId w:val="0"/>
        </w:numPr>
        <w:rPr>
          <w:noProof/>
        </w:rPr>
      </w:pPr>
      <w:r>
        <w:t>209c. Genom undantag från artikel 21.1 a i förordning (EU) 2021/451 ska instituten rapportera noll på raderna 0010 och 0020 i kolumnerna 0020 (”Obligatoriskt i handelslagret”), 0130 (”Instrument som ingår i handelslagret med den behöriga myndighetens godkännande: Instrument i hedgefonder”) respektive 0140 (”Andra instrument”) om det inte ingår något instrument i deras handelslager som motsvarar beskrivningen för respektive cell.</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t>9.2.2.2 Instruktioner för specifika positioner</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Kolumn</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Rättsliga hänvisningar och instruktioner</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Handelslager: Aggregerade positioner: Värde vid tillämpning av artikel 325a i förordning (EU) nr 575/2013 ((+) positivt / (−) negativt marknadsvärde netto)</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lastRenderedPageBreak/>
              <w:t>Artiklarna 4.1.86, 104 och 325a.2 a i förordning (EU) nr 575/2013</w:t>
            </w:r>
          </w:p>
          <w:p w14:paraId="467A1E21" w14:textId="008DABF1" w:rsidR="0061609C" w:rsidRPr="00037E7B" w:rsidRDefault="0061609C" w:rsidP="00056154">
            <w:pPr>
              <w:pStyle w:val="BodyText"/>
              <w:spacing w:before="120" w:after="120"/>
              <w:rPr>
                <w:rFonts w:ascii="Times New Roman" w:hAnsi="Times New Roman" w:cs="Times New Roman"/>
              </w:rPr>
            </w:pPr>
            <w:r>
              <w:t>Instituten ska separat rapportera uppgifter om aggregerade långa positioner och aggregerade korta positioner. De ska fastställa värdet på den aggregerade långa (korta) positionen i enlighet med artikel 325a.2 i förordning (EU) nr 575/2013, med följande undantag: Om värdet på den aggregerade långa (korta) positionen motsvarar ett positivt nettomarknadsvärde ska ett positivt värde rapporteras i denna mall, och om värdet på den aggregerade långa (korta) positionen motsvarar ett negativt nettomarknadsvärde ska ett negativt värde rapporteras.</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Aggregerade positioner – varav: i utländsk valuta</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 ska rapporteras i denna kolumn om de är denominerade i en annan valuta än rapportvalutan, om de har en underliggande tillgång i en sådan valuta eller om de har en valutaposition som underliggande tillgång.</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Aggregerade positioner – Obligatoriskt i handelslagret</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Om ett instrument uppfyller mer än ett villkor för att ingå i handelslagret ska instituten rapportera det i den kolumn som de anser vara lämpligast bland kolumnerna 0030–0120. Instrument som klassificeras som instrument som innehas för handel enligt redovisningsreglerna ska endast rapporteras i kolumn 0120 om de inte kan hänföras till någon av kolumnerna 0030–0110.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Obligatoriskt i handelslagret</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 i alternativ korrelationshandelsportfölj</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a i förordning (EU) nr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 som skulle ge upphov till en kort nettokredit- eller aktieposition utanför handelslagret</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b i förordning (EU) nr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 som ges ut till följd av värdepappersemissionsgarantier</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c i förordning (EU) nr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 som ges ut till följd av marknadsgarantfunktioner</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e i förordning (EU) nr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Företag för kollektiva investeringar (fonder)</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f i förordning (EU) nr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Börsnoterade aktier</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Artikel 104.2 första stycket g i förordning (EU) nr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Handelsrelaterade transaktioner för värdepappersfinansiering</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lastRenderedPageBreak/>
              <w:t>Artikel 104.2 första stycket h i förordning (EU) nr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Optioner eller andra derivat som är inbäddade i institutets egna skulder (uppdelning)</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i och tredje stycket i förordning (EU) nr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Institutets egna skulder med inbäddade optioner eller andra derivat (ej uppdelade)</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104.2 första stycket i och fjärde stycket i förordning (EU) nr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 som klassificeras som instrument som innehas för handel enligt redovisningsreglerna (som inte ingår i tidigare kolumner)</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Artikel 104.2 första stycket d i förordning (EU) nr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 som klassificeras som instrument som innehas för handel enligt redovisningsreglerna ska endast rapporteras i denna kolumn om de inte har rapporterats i kolumnerna 0030–0110.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Aggregerade positioner – Instrument som ingår i handelslagret med den behöriga myndighetens godkännande: Instrument i hedgefonder</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104.4a i förordning (EU) nr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0140–0150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Aggregerade positioner – Andra instrument</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 ska rapporteras i denna kolumn om de hänförs till handelslagret i enlighet med artikel 4.1.85 i förordning (EU) nr 575/2013 och inte har rapporterats i någon av kolumnerna 0020–0130.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Andra instrument</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Andra instrument – varav: Instrument i handelslagret på grund av att bevis saknas för klassificering utanför handelslagret</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104.6 andra meningen i förordning (EU) nr 575/2013</w:t>
            </w:r>
          </w:p>
        </w:tc>
      </w:tr>
    </w:tbl>
    <w:p w14:paraId="10FD81A7" w14:textId="77777777" w:rsidR="009B2CA6" w:rsidRPr="00A27E48"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Rad</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Rättsliga hänvisningar och instruktioner</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Alla instrument i handelslagret som beaktas i tröskelvärdet i artikel 325a i förordning (EU) nr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 vars huvudsakliga riskdrivare är generell ränterisk eller kreditspreadrisk</w:t>
            </w:r>
          </w:p>
          <w:p w14:paraId="1768966A" w14:textId="77777777" w:rsidR="009B2CA6" w:rsidRPr="00A27E48" w:rsidRDefault="009B2CA6" w:rsidP="00627775">
            <w:pPr>
              <w:pStyle w:val="BodyText"/>
              <w:spacing w:before="120" w:after="120"/>
              <w:rPr>
                <w:rFonts w:ascii="Times New Roman" w:hAnsi="Times New Roman" w:cs="Times New Roman"/>
                <w:b/>
                <w:u w:val="singl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 vars huvudsakliga riskdrivare är aktierisk</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lastRenderedPageBreak/>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 vars huvudsakliga riskdrivare är valutarisk</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 vars huvudsakliga riskdrivare är råvarurisk</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Andra instrument i handelslagret, inklusive instrument vars huvudsakliga riskdrivare är kvarstående risk</w:t>
            </w:r>
          </w:p>
          <w:p w14:paraId="49050F01" w14:textId="0520CC26" w:rsidR="009B2CA6" w:rsidRPr="00723BA8" w:rsidRDefault="00D35757">
            <w:pPr>
              <w:pStyle w:val="BodyText"/>
              <w:spacing w:before="120" w:after="120"/>
              <w:rPr>
                <w:rFonts w:hint="eastAsia"/>
              </w:rPr>
            </w:pPr>
            <w:r>
              <w:t xml:space="preserve">På dessa rader ska instituten rapportera alla instrument som hänförts till handelslagret och vars huvudsakliga riskdrivare inte är någon av de riskdrivare som avses på raderna 0030–0100. Dessa rader ska åtminstone omfatta instrument vars huvudsakliga riskdrivare är kvarstående risker.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Memorandumpost: Instrument som klassificeras som instrument som innehas för handel enligt redovisningsreglerna</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Artikel 104.2 första stycket d i förordning (EU) nr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t>9.3 C 24.01 – Gräns avseende handelslagret – Omklassificeringar mellan typ av reglerad verksamhet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Pr>
          <w:rFonts w:ascii="Times New Roman" w:hAnsi="Times New Roman"/>
          <w:u w:val="none"/>
        </w:rPr>
        <w:tab/>
      </w:r>
      <w:r>
        <w:rPr>
          <w:rFonts w:ascii="Times New Roman" w:hAnsi="Times New Roman"/>
          <w:sz w:val="24"/>
          <w:u w:val="none"/>
        </w:rPr>
        <w:t>Allmänna kommentarer</w:t>
      </w:r>
    </w:p>
    <w:p w14:paraId="01D302B5" w14:textId="77777777" w:rsidR="00F65FA6" w:rsidRPr="00037E7B" w:rsidRDefault="00F65FA6" w:rsidP="00F65FA6">
      <w:pPr>
        <w:pStyle w:val="InstructionsText2"/>
        <w:numPr>
          <w:ilvl w:val="0"/>
          <w:numId w:val="61"/>
        </w:numPr>
        <w:spacing w:line="259" w:lineRule="auto"/>
      </w:pPr>
      <w:r>
        <w:t xml:space="preserve">Denna mall ska användas för att tillhandahålla uppgifter om omklassificeringen av positioner i enlighet med artikel 104a i förordning (EU) nr 575/2013. </w:t>
      </w:r>
    </w:p>
    <w:p w14:paraId="171B977F" w14:textId="77777777" w:rsidR="00F65FA6" w:rsidRPr="00037E7B" w:rsidRDefault="00F65FA6" w:rsidP="00F65FA6">
      <w:pPr>
        <w:pStyle w:val="InstructionsText2"/>
        <w:numPr>
          <w:ilvl w:val="0"/>
          <w:numId w:val="61"/>
        </w:numPr>
        <w:spacing w:line="259" w:lineRule="auto"/>
      </w:pPr>
      <w:r>
        <w:t>Omklassificeringar ska endast rapporteras i denna mall i följande två fall:</w:t>
      </w:r>
    </w:p>
    <w:p w14:paraId="188FB065" w14:textId="1E43754D" w:rsidR="00F65FA6" w:rsidRPr="00037E7B" w:rsidRDefault="00F65FA6" w:rsidP="00F65FA6">
      <w:pPr>
        <w:pStyle w:val="InstructionsText2"/>
        <w:numPr>
          <w:ilvl w:val="1"/>
          <w:numId w:val="61"/>
        </w:numPr>
        <w:spacing w:line="259" w:lineRule="auto"/>
      </w:pPr>
      <w:r>
        <w:t>Om den behöriga myndigheten har beviljat tillstånd att omklassificera en position i handelslagret som en position utanför handelslagret eller omvänt.</w:t>
      </w:r>
    </w:p>
    <w:p w14:paraId="5B6EC138" w14:textId="25B6D89E" w:rsidR="00F65FA6" w:rsidRPr="00037E7B" w:rsidRDefault="00F65FA6" w:rsidP="00F65FA6">
      <w:pPr>
        <w:pStyle w:val="InstructionsText2"/>
        <w:numPr>
          <w:ilvl w:val="1"/>
          <w:numId w:val="61"/>
        </w:numPr>
        <w:spacing w:line="259" w:lineRule="auto"/>
      </w:pPr>
      <w:r>
        <w:t>Om omklassificeringen uppfyller villkoren i artikel 104a.6 i förordning (EU) nr 575/2013 och får göras utan den behöriga myndighetens uttryckliga tillstånd.</w:t>
      </w:r>
    </w:p>
    <w:p w14:paraId="42F779D4" w14:textId="77777777" w:rsidR="00F65FA6" w:rsidRPr="00037E7B" w:rsidRDefault="00F65FA6" w:rsidP="00F65FA6">
      <w:pPr>
        <w:pStyle w:val="InstructionsText2"/>
        <w:numPr>
          <w:ilvl w:val="0"/>
          <w:numId w:val="61"/>
        </w:numPr>
        <w:spacing w:line="259" w:lineRule="auto"/>
      </w:pPr>
      <w:r>
        <w:t>Följande omklassificerade instrument ska rapporteras i mallen:</w:t>
      </w:r>
    </w:p>
    <w:p w14:paraId="2B0996DA" w14:textId="3EB81158" w:rsidR="00F65FA6" w:rsidRPr="00037E7B" w:rsidRDefault="00F65FA6" w:rsidP="00F65FA6">
      <w:pPr>
        <w:pStyle w:val="InstructionsText2"/>
        <w:numPr>
          <w:ilvl w:val="1"/>
          <w:numId w:val="61"/>
        </w:numPr>
        <w:spacing w:line="259" w:lineRule="auto"/>
      </w:pPr>
      <w:r>
        <w:t>Instrument som har omklassificerats under det kvartal som rapporten avser. Alla instrument som omklassificerats under kvartalet ska rapporteras i mallen, oavsett om omklassificeringen leder till en minskning av kapitalbaskraven eller inte. Ett instrument som har omklassificerats under kvartalet ska rapporteras även om instrumentet togs bort från rapporten över finansiell ställning eller förföll mellan datumet för omklassificeringen och rapportens referensdatum.</w:t>
      </w:r>
    </w:p>
    <w:p w14:paraId="29ED050F" w14:textId="56E21CB0" w:rsidR="00F65FA6" w:rsidRPr="00037E7B" w:rsidRDefault="00F65FA6" w:rsidP="00F65FA6">
      <w:pPr>
        <w:pStyle w:val="InstructionsText2"/>
        <w:numPr>
          <w:ilvl w:val="1"/>
          <w:numId w:val="61"/>
        </w:numPr>
        <w:spacing w:line="259" w:lineRule="auto"/>
      </w:pPr>
      <w:r>
        <w:lastRenderedPageBreak/>
        <w:t xml:space="preserve">Instrument som har omklassificerats under föregående rapporteringsperioder och som fortfarande åsätts ett kapitalbaskrav i enlighet med artikel 104a.3 b i förordning (EU) nr 575/2013 vid rapportens referensdatum. </w:t>
      </w:r>
    </w:p>
    <w:p w14:paraId="04E7DE74" w14:textId="0EA265BF" w:rsidR="00F65FA6" w:rsidRPr="00037E7B" w:rsidRDefault="00F65FA6" w:rsidP="00F65FA6">
      <w:pPr>
        <w:pStyle w:val="InstructionsText2"/>
        <w:numPr>
          <w:ilvl w:val="1"/>
          <w:numId w:val="61"/>
        </w:numPr>
        <w:spacing w:line="259" w:lineRule="auto"/>
      </w:pPr>
      <w:r>
        <w:t>Instrument som har omklassificerats under föregående rapporteringsperioder och som åsatts ett kapitalbaskrav i enlighet med artikel 104a.3 b i förordning (EU) nr 575/2013 på föregående referensdatum, om den behöriga myndighetens beslut att tillåta redovisningen av minskningen av kapitalbaskraven träder i kraft under det kvartal som rapporten avser.</w:t>
      </w:r>
    </w:p>
    <w:p w14:paraId="4E4DBEFD" w14:textId="77777777" w:rsidR="00F65FA6" w:rsidRPr="00037E7B" w:rsidRDefault="00F65FA6" w:rsidP="00F65FA6">
      <w:pPr>
        <w:pStyle w:val="InstructionsText2"/>
        <w:numPr>
          <w:ilvl w:val="0"/>
          <w:numId w:val="61"/>
        </w:numPr>
        <w:spacing w:line="259" w:lineRule="auto"/>
      </w:pPr>
      <w:r>
        <w:t>Instituten ska separat för varje instrument som har omklassificerats rapportera uppgifter om omklassificeringen.</w:t>
      </w:r>
    </w:p>
    <w:p w14:paraId="17A4C841" w14:textId="77777777" w:rsidR="00F65FA6" w:rsidRPr="00037E7B" w:rsidDel="00BC604C" w:rsidRDefault="00F65FA6" w:rsidP="00F65FA6">
      <w:pPr>
        <w:pStyle w:val="InstructionsText2"/>
        <w:numPr>
          <w:ilvl w:val="0"/>
          <w:numId w:val="61"/>
        </w:numPr>
        <w:spacing w:line="259" w:lineRule="auto"/>
      </w:pPr>
      <w:r>
        <w:t xml:space="preserve">Fältet ”kvittningsgrupp” ska användas för att ange den kvittningsgrupp som inbegriper den enhet som innehade positionen per referensdatumet, eller per förfallodagen eller datumet för borttagande från rapporten över finansiell ställning, beroende på vad som är tillämpligt.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rPr>
          <w:rFonts w:ascii="Times New Roman" w:hAnsi="Times New Roman"/>
          <w:sz w:val="24"/>
          <w:u w:val="none"/>
        </w:rPr>
        <w:tab/>
        <w:t>Instruktioner för specifika positioner</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Kolumn</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Rättsliga hänvisningar och instruktioner</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Omklassificerings-ID</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Intern (alfanumerisk) kod som används av den rapporterande enheten för att identifiera det omklassificerade instrumentet eller själva omklassificeringen, beroende på vad som är tillämpligt.</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Varje omklassificering ska kopplas till ett eget omklassificerings-ID. Det omklassificerings-ID som tilldelas en och samma omklassificering ska vara unikt och användas på ett enhetligt sätt över tid och mellan olika rapporter.</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Det är fråga om en radidentifierare som ska vara unik för varje rad i mallen.</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Typ av instrument</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Kort beskrivning av det instrument som har omklassificerats, vilket ska göra det möjligt att förstå typen av och de viktigaste egenskaperna hos det omklassificerade instrumentet.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Om det instrument som har omklassificerats har ett internationellt standardnummer för värdepapper (ISIN) ska ISIN-koden, tillsammans med instrumentets viktigaste egenskaper, ingå i beskrivningen.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Reglerad verksamhet som instrumentet omklassificerades från</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Ett av följande två alternativ ska anges:</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I handelslagret</w:t>
            </w:r>
            <w:r>
              <w:rPr>
                <w:rFonts w:ascii="Times New Roman" w:hAnsi="Times New Roman"/>
              </w:rPr>
              <w:br/>
              <w:t>Artikel 4.1.86 i förordning (EU) nr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lastRenderedPageBreak/>
              <w:t xml:space="preserve">Utanför handelslagret </w:t>
            </w:r>
            <w:r>
              <w:rPr>
                <w:rFonts w:ascii="Times New Roman" w:hAnsi="Times New Roman"/>
              </w:rPr>
              <w:br/>
              <w:t>Alla positioner som inte ingår i handelslagret.</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Reglerad verksamhet som instrumentet omklassificerades till</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Ett av följande två alternativ ska anges:</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I handelslagret</w:t>
            </w:r>
            <w:r>
              <w:rPr>
                <w:rFonts w:ascii="Times New Roman" w:hAnsi="Times New Roman"/>
              </w:rPr>
              <w:br/>
              <w:t>Artikel 4.1.86 i förordning (EU) nr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Utanför handelslagret</w:t>
            </w:r>
            <w:r>
              <w:rPr>
                <w:rFonts w:ascii="Times New Roman" w:hAnsi="Times New Roman"/>
              </w:rPr>
              <w:br/>
              <w:t>Alla positioner som inte ingår i handelslagret.</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Skäl till omklassificeringen</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En förklaring ska tillhandahållas av de exceptionella omständigheter som har lett till att en position omklassificerats från en typ av reglerad verksamhet till en annan. Förklaringen i denna cell ska vara tillräckligt detaljerad för att styrka varför omklassificeringen anses utgöra en exceptionell omständighet.</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Förhandstillstånd (status)</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Artikel 104a.2 och 104a.6 i förordning (EU) nr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Om det inte krävs något förhandstillstånd från den behöriga myndigheten i enlighet med artikel 104a.6 i förordning (EU) nr 575/2013 ska instituten ange ”Inget förhandstillstånd krävs” i denna kolumn. Om ett förhandstillstånd krävs och har erhållits ska ”Erhållet förhandstillstånd” anges.</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för omklassificering</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Artikel 104a.2 och 104a.6 första meningen i förordning (EU) nr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Nettoökning (+) eller (−) nettominskning av kapitalbaskraven till följd av omklassificeringen</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Nettoförändringen av kapitalbaskraven till följd av positionens omklassificering, beräknad i enlighet med artikel 104a.4 i förordning (EU) nr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En ökning av kapitalbaskraven till följd av omklassificeringen ska rapporteras med ett positivt tecken (+), medan en minskning av kapitalbaskraven ska rapporteras med ett negativt tecken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Tillägg till kapitalbaskraven på grund av omklassificeringen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Om nettoförändringen av kapitalbaskraven till följd av positionens omklassificering, beräknad i enlighet med artikel 104a.4 i förordning (EU) nr 575/2013, utgör en minskning av institutets kapitalbaskrav och om den behöriga myndigheten inte har tillåtit att denna minskning redovisas i enlighet med artikel 104a.3 b i förordning (EU) nr 575/2013, ska beloppet för minskningen rapporteras med ett positivt tecken. Beloppet ska därmed motsvara tillägget till kapitalbaskraven för omklassificeringen i fråga.</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lastRenderedPageBreak/>
              <w:t>Om den behöriga myndigheten har tillåtit att institutet redovisar minskningen av kapitalbaskraven i enlighet med artikel 104a.3 b i förordning (EU) nr 575/2013 ska denna kolumn lämnas tom.</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Instrumentets förfallodag eller planerade borttagande från rapporten över finansiell ställning</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Om inget borttagande av instrumentet från rapporten över finansiell ställning planeras ska instrumentets förfallodag rapporteras.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Om ett borttagande planeras före instrumentets förfallodag ska datumet för det planerade borttagandet rapporteras.</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Om endast månad och år för förfallodagen eller borttagandet är kända ska förfallodagen eller datumet för det planerade borttagandet av instrumentet rapporteras som månadens sista dag. Om endast året för borttagandet är känt ska förfallodagen eller datumet för det planerade borttagandet rapporteras som den 31 december det året.</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Om förfallodagen eller datumet för det planerade borttagandet av instrumentet inte kan fastställas eller inte är känt ska den 31 december 9999 anges i denna kolumn.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från och med vilket den behöriga myndigheten tillåter redovisning av minskningen av kapitalbaskraven</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Artikel 104a.3 b i förordning (EU) nr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Om omklassificeringen har lett till en nettoökning av kapitalbaskraven och om den behöriga myndigheten inte har tillåtit att minskningen av kapitalbaskraven redovisas ska inget datum anges.”</w:t>
            </w:r>
          </w:p>
        </w:tc>
      </w:tr>
    </w:tbl>
    <w:p w14:paraId="0C23ABF8" w14:textId="77777777" w:rsidR="00F65FA6" w:rsidRPr="00A27E48" w:rsidRDefault="00F65FA6" w:rsidP="00F65FA6">
      <w:pPr>
        <w:pStyle w:val="body"/>
        <w:rPr>
          <w:rFonts w:ascii="Times New Roman" w:hAnsi="Times New Roman" w:cs="Times New Roman"/>
        </w:rPr>
      </w:pPr>
    </w:p>
    <w:p w14:paraId="18DC5971" w14:textId="77777777" w:rsidR="00522E00" w:rsidRPr="00A27E48" w:rsidRDefault="00522E00" w:rsidP="00F65FA6">
      <w:pPr>
        <w:pStyle w:val="body"/>
        <w:rPr>
          <w:rStyle w:val="InstructionsTabelleText"/>
          <w:rFonts w:ascii="Times New Roman" w:hAnsi="Times New Roman"/>
          <w:sz w:val="24"/>
        </w:rPr>
      </w:pPr>
    </w:p>
    <w:sectPr w:rsidR="00522E00" w:rsidRPr="00A27E48"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Ordinarie användning"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Ordinarie användning"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Ordinarie användning"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sv-S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018"/>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27E48"/>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2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sv-S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2.xml><?xml version="1.0" encoding="utf-8"?>
<ds:datastoreItem xmlns:ds="http://schemas.openxmlformats.org/officeDocument/2006/customXml" ds:itemID="{5B84D663-3E46-4276-BD59-118852D8A4AC}"/>
</file>

<file path=customXml/itemProps3.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5</TotalTime>
  <Pages>9</Pages>
  <Words>2341</Words>
  <Characters>14474</Characters>
  <Application>Microsoft Office Word</Application>
  <DocSecurity>0</DocSecurity>
  <Lines>371</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GRANROTH Alice (DGT)</cp:lastModifiedBy>
  <cp:revision>5</cp:revision>
  <dcterms:created xsi:type="dcterms:W3CDTF">2024-06-19T18:09:00Z</dcterms:created>
  <dcterms:modified xsi:type="dcterms:W3CDTF">2025-01-27T09:31:00Z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2025-01-27T09:31:31Z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4506de79-5eb8-4802-aef1-95331594a3a4</vt:lpwstr>
  </property>
  <property fmtid="{D5CDD505-2E9C-101B-9397-08002B2CF9AE}" pid="9" name="MSIP_Label_6bd9ddd1-4d20-43f6-abfa-fc3c07406f94_ContentBits">
    <vt:lpwstr>0</vt:lpwstr>
  </property>
</Properties>
</file>